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5E19" w:rsidRPr="000764AE" w:rsidRDefault="00C95E19" w:rsidP="00C95E19">
      <w:pPr>
        <w:ind w:left="360"/>
        <w:jc w:val="center"/>
        <w:rPr>
          <w:b/>
          <w:bCs/>
          <w:kern w:val="28"/>
          <w:sz w:val="20"/>
          <w:szCs w:val="20"/>
        </w:rPr>
      </w:pPr>
      <w:bookmarkStart w:id="0" w:name="_GoBack"/>
      <w:bookmarkEnd w:id="0"/>
      <w:r w:rsidRPr="000764AE">
        <w:rPr>
          <w:b/>
          <w:bCs/>
          <w:kern w:val="28"/>
          <w:sz w:val="20"/>
          <w:szCs w:val="20"/>
        </w:rPr>
        <w:t>Техническое задание</w:t>
      </w:r>
    </w:p>
    <w:p w:rsidR="00412DCE" w:rsidRPr="000764AE" w:rsidRDefault="00412DCE" w:rsidP="00C95E19">
      <w:pPr>
        <w:ind w:left="360"/>
        <w:jc w:val="center"/>
        <w:rPr>
          <w:bCs/>
          <w:kern w:val="28"/>
          <w:sz w:val="20"/>
          <w:szCs w:val="20"/>
        </w:rPr>
      </w:pPr>
    </w:p>
    <w:tbl>
      <w:tblPr>
        <w:tblW w:w="10928" w:type="dxa"/>
        <w:tblInd w:w="-1213" w:type="dxa"/>
        <w:tblLook w:val="04A0" w:firstRow="1" w:lastRow="0" w:firstColumn="1" w:lastColumn="0" w:noHBand="0" w:noVBand="1"/>
      </w:tblPr>
      <w:tblGrid>
        <w:gridCol w:w="708"/>
        <w:gridCol w:w="1603"/>
        <w:gridCol w:w="6554"/>
        <w:gridCol w:w="964"/>
        <w:gridCol w:w="1099"/>
      </w:tblGrid>
      <w:tr w:rsidR="00412DCE" w:rsidRPr="000764AE" w:rsidTr="00CD67C5">
        <w:trPr>
          <w:trHeight w:val="545"/>
        </w:trPr>
        <w:tc>
          <w:tcPr>
            <w:tcW w:w="708" w:type="dxa"/>
            <w:tcBorders>
              <w:top w:val="single" w:sz="4" w:space="0" w:color="auto"/>
              <w:left w:val="single" w:sz="4" w:space="0" w:color="auto"/>
              <w:bottom w:val="single" w:sz="4" w:space="0" w:color="auto"/>
              <w:right w:val="nil"/>
            </w:tcBorders>
            <w:noWrap/>
            <w:vAlign w:val="center"/>
            <w:hideMark/>
          </w:tcPr>
          <w:p w:rsidR="00412DCE" w:rsidRPr="000764AE" w:rsidRDefault="00412DCE">
            <w:pPr>
              <w:shd w:val="clear" w:color="auto" w:fill="FFFFFF"/>
              <w:spacing w:after="0"/>
              <w:ind w:right="96" w:firstLine="34"/>
              <w:jc w:val="center"/>
              <w:rPr>
                <w:b/>
                <w:sz w:val="20"/>
                <w:szCs w:val="20"/>
              </w:rPr>
            </w:pPr>
            <w:r w:rsidRPr="000764AE">
              <w:rPr>
                <w:b/>
                <w:sz w:val="20"/>
                <w:szCs w:val="20"/>
              </w:rPr>
              <w:t>№ п/п</w:t>
            </w:r>
          </w:p>
        </w:tc>
        <w:tc>
          <w:tcPr>
            <w:tcW w:w="1603" w:type="dxa"/>
            <w:tcBorders>
              <w:top w:val="single" w:sz="4" w:space="0" w:color="auto"/>
              <w:left w:val="single" w:sz="4" w:space="0" w:color="auto"/>
              <w:bottom w:val="single" w:sz="4" w:space="0" w:color="auto"/>
              <w:right w:val="nil"/>
            </w:tcBorders>
            <w:noWrap/>
            <w:vAlign w:val="center"/>
            <w:hideMark/>
          </w:tcPr>
          <w:p w:rsidR="00412DCE" w:rsidRPr="000764AE" w:rsidRDefault="00412DCE">
            <w:pPr>
              <w:shd w:val="clear" w:color="auto" w:fill="FFFFFF"/>
              <w:spacing w:after="0"/>
              <w:ind w:right="72"/>
              <w:jc w:val="center"/>
              <w:rPr>
                <w:b/>
                <w:sz w:val="20"/>
                <w:szCs w:val="20"/>
              </w:rPr>
            </w:pPr>
            <w:r w:rsidRPr="000764AE">
              <w:rPr>
                <w:b/>
                <w:spacing w:val="-2"/>
                <w:sz w:val="20"/>
                <w:szCs w:val="20"/>
              </w:rPr>
              <w:t xml:space="preserve">Наименование </w:t>
            </w:r>
            <w:r w:rsidRPr="000764AE">
              <w:rPr>
                <w:b/>
                <w:sz w:val="20"/>
                <w:szCs w:val="20"/>
              </w:rPr>
              <w:t>товаров</w:t>
            </w:r>
          </w:p>
        </w:tc>
        <w:tc>
          <w:tcPr>
            <w:tcW w:w="6554" w:type="dxa"/>
            <w:tcBorders>
              <w:top w:val="single" w:sz="4" w:space="0" w:color="auto"/>
              <w:left w:val="single" w:sz="4" w:space="0" w:color="auto"/>
              <w:bottom w:val="single" w:sz="4" w:space="0" w:color="auto"/>
              <w:right w:val="single" w:sz="4" w:space="0" w:color="auto"/>
            </w:tcBorders>
            <w:vAlign w:val="center"/>
            <w:hideMark/>
          </w:tcPr>
          <w:p w:rsidR="00412DCE" w:rsidRPr="000764AE" w:rsidRDefault="00412DCE">
            <w:pPr>
              <w:shd w:val="clear" w:color="auto" w:fill="FFFFFF"/>
              <w:spacing w:after="0"/>
              <w:jc w:val="center"/>
              <w:rPr>
                <w:b/>
                <w:sz w:val="20"/>
                <w:szCs w:val="20"/>
              </w:rPr>
            </w:pPr>
            <w:r w:rsidRPr="000764AE">
              <w:rPr>
                <w:b/>
                <w:sz w:val="20"/>
                <w:szCs w:val="20"/>
              </w:rPr>
              <w:t xml:space="preserve">Характеристики </w:t>
            </w:r>
            <w:r w:rsidRPr="000764AE">
              <w:rPr>
                <w:b/>
                <w:spacing w:val="-4"/>
                <w:sz w:val="20"/>
                <w:szCs w:val="20"/>
              </w:rPr>
              <w:t>закупаемых товаров</w:t>
            </w:r>
          </w:p>
        </w:tc>
        <w:tc>
          <w:tcPr>
            <w:tcW w:w="964" w:type="dxa"/>
            <w:tcBorders>
              <w:top w:val="single" w:sz="4" w:space="0" w:color="auto"/>
              <w:left w:val="single" w:sz="4" w:space="0" w:color="auto"/>
              <w:bottom w:val="single" w:sz="4" w:space="0" w:color="auto"/>
              <w:right w:val="nil"/>
            </w:tcBorders>
            <w:noWrap/>
            <w:vAlign w:val="center"/>
            <w:hideMark/>
          </w:tcPr>
          <w:p w:rsidR="00412DCE" w:rsidRPr="000764AE" w:rsidRDefault="00412DCE">
            <w:pPr>
              <w:shd w:val="clear" w:color="auto" w:fill="FFFFFF"/>
              <w:spacing w:after="0"/>
              <w:jc w:val="center"/>
              <w:rPr>
                <w:b/>
                <w:sz w:val="20"/>
                <w:szCs w:val="20"/>
              </w:rPr>
            </w:pPr>
            <w:r w:rsidRPr="000764AE">
              <w:rPr>
                <w:b/>
                <w:sz w:val="20"/>
                <w:szCs w:val="20"/>
              </w:rPr>
              <w:t>Ед. изм.</w:t>
            </w:r>
          </w:p>
        </w:tc>
        <w:tc>
          <w:tcPr>
            <w:tcW w:w="1099" w:type="dxa"/>
            <w:tcBorders>
              <w:top w:val="single" w:sz="4" w:space="0" w:color="auto"/>
              <w:left w:val="single" w:sz="4" w:space="0" w:color="auto"/>
              <w:bottom w:val="single" w:sz="4" w:space="0" w:color="auto"/>
              <w:right w:val="single" w:sz="4" w:space="0" w:color="auto"/>
            </w:tcBorders>
            <w:noWrap/>
            <w:vAlign w:val="center"/>
            <w:hideMark/>
          </w:tcPr>
          <w:p w:rsidR="00412DCE" w:rsidRPr="000764AE" w:rsidRDefault="00412DCE">
            <w:pPr>
              <w:shd w:val="clear" w:color="auto" w:fill="FFFFFF"/>
              <w:spacing w:after="0"/>
              <w:ind w:left="120" w:right="120"/>
              <w:jc w:val="center"/>
              <w:rPr>
                <w:b/>
                <w:sz w:val="20"/>
                <w:szCs w:val="20"/>
              </w:rPr>
            </w:pPr>
            <w:r w:rsidRPr="000764AE">
              <w:rPr>
                <w:b/>
                <w:spacing w:val="-5"/>
                <w:sz w:val="20"/>
                <w:szCs w:val="20"/>
              </w:rPr>
              <w:t>Кол-во</w:t>
            </w:r>
          </w:p>
        </w:tc>
      </w:tr>
      <w:tr w:rsidR="00412DCE" w:rsidRPr="000764AE" w:rsidTr="00CD67C5">
        <w:tc>
          <w:tcPr>
            <w:tcW w:w="708" w:type="dxa"/>
            <w:tcBorders>
              <w:top w:val="single" w:sz="4" w:space="0" w:color="auto"/>
              <w:left w:val="single" w:sz="4" w:space="0" w:color="auto"/>
              <w:bottom w:val="single" w:sz="4" w:space="0" w:color="auto"/>
              <w:right w:val="single" w:sz="4" w:space="0" w:color="auto"/>
            </w:tcBorders>
            <w:hideMark/>
          </w:tcPr>
          <w:p w:rsidR="00412DCE" w:rsidRPr="000764AE" w:rsidRDefault="00412DCE">
            <w:pPr>
              <w:spacing w:after="0"/>
              <w:jc w:val="center"/>
              <w:rPr>
                <w:sz w:val="20"/>
                <w:szCs w:val="20"/>
              </w:rPr>
            </w:pPr>
            <w:r w:rsidRPr="000764AE">
              <w:rPr>
                <w:sz w:val="20"/>
                <w:szCs w:val="20"/>
              </w:rPr>
              <w:t>1</w:t>
            </w:r>
          </w:p>
        </w:tc>
        <w:tc>
          <w:tcPr>
            <w:tcW w:w="1603" w:type="dxa"/>
            <w:tcBorders>
              <w:top w:val="single" w:sz="4" w:space="0" w:color="auto"/>
              <w:left w:val="single" w:sz="4" w:space="0" w:color="auto"/>
              <w:bottom w:val="single" w:sz="4" w:space="0" w:color="auto"/>
              <w:right w:val="single" w:sz="4" w:space="0" w:color="auto"/>
            </w:tcBorders>
            <w:hideMark/>
          </w:tcPr>
          <w:p w:rsidR="00412DCE" w:rsidRPr="000764AE" w:rsidRDefault="00CD67C5" w:rsidP="00547173">
            <w:pPr>
              <w:spacing w:after="0"/>
              <w:rPr>
                <w:sz w:val="20"/>
                <w:szCs w:val="20"/>
              </w:rPr>
            </w:pPr>
            <w:r w:rsidRPr="000764AE">
              <w:rPr>
                <w:sz w:val="20"/>
                <w:szCs w:val="20"/>
              </w:rPr>
              <w:t>Техническое обслуживание местных телефонных линий, телефонных аппаратов и местных кабельных линий.</w:t>
            </w:r>
          </w:p>
        </w:tc>
        <w:tc>
          <w:tcPr>
            <w:tcW w:w="6554" w:type="dxa"/>
            <w:tcBorders>
              <w:top w:val="single" w:sz="4" w:space="0" w:color="auto"/>
              <w:left w:val="single" w:sz="4" w:space="0" w:color="auto"/>
              <w:bottom w:val="single" w:sz="4" w:space="0" w:color="auto"/>
              <w:right w:val="single" w:sz="4" w:space="0" w:color="auto"/>
            </w:tcBorders>
            <w:hideMark/>
          </w:tcPr>
          <w:p w:rsidR="00547173" w:rsidRPr="000764AE" w:rsidRDefault="00CD67C5" w:rsidP="00547173">
            <w:pPr>
              <w:rPr>
                <w:sz w:val="20"/>
                <w:szCs w:val="20"/>
              </w:rPr>
            </w:pPr>
            <w:r w:rsidRPr="000764AE">
              <w:rPr>
                <w:sz w:val="20"/>
                <w:szCs w:val="20"/>
              </w:rPr>
              <w:t>Техническое обслуживание местных телефонных линий, телефонных аппар</w:t>
            </w:r>
            <w:r w:rsidR="009850BF">
              <w:rPr>
                <w:sz w:val="20"/>
                <w:szCs w:val="20"/>
              </w:rPr>
              <w:t>атов и местных кабельных линий выполняется</w:t>
            </w:r>
            <w:r w:rsidRPr="000764AE">
              <w:rPr>
                <w:sz w:val="20"/>
                <w:szCs w:val="20"/>
              </w:rPr>
              <w:t xml:space="preserve"> согласно ГОСТ Р 53532 – 2009 «Показатели качества услуг телефонной связи в сети общего пользования. Общие требования».</w:t>
            </w:r>
          </w:p>
          <w:p w:rsidR="00CD67C5" w:rsidRPr="000764AE" w:rsidRDefault="00CD67C5" w:rsidP="00547173">
            <w:pPr>
              <w:rPr>
                <w:sz w:val="20"/>
                <w:szCs w:val="20"/>
                <w:u w:val="single"/>
              </w:rPr>
            </w:pPr>
            <w:r w:rsidRPr="000764AE">
              <w:rPr>
                <w:sz w:val="20"/>
                <w:szCs w:val="20"/>
                <w:u w:val="single"/>
              </w:rPr>
              <w:t>Услуга состоит:</w:t>
            </w:r>
          </w:p>
          <w:p w:rsidR="00910257" w:rsidRPr="000764AE" w:rsidRDefault="00910257" w:rsidP="00547173">
            <w:pPr>
              <w:rPr>
                <w:sz w:val="20"/>
                <w:szCs w:val="20"/>
              </w:rPr>
            </w:pPr>
            <w:r w:rsidRPr="000764AE">
              <w:rPr>
                <w:sz w:val="20"/>
                <w:szCs w:val="20"/>
              </w:rPr>
              <w:t xml:space="preserve">Проверка надежности установки прибора, чистка корпуса от пыли, грязи, устранение механических повреждений корпуса, контроль исправности элементов индикации, проверка исправности предохранителя, наличие крышек на клеммах, проверка надежности крепления проводов на разъемах. Проводится внешний осмотр с целью обнаружения и устранения повреждений, обеспечение максимального срока ее службы, выявление и устранение неисправностей. Внешний осмотр соединительных линий, коробок, контроль за целостностью кабеля, отсутствием вставок другого типа провода, удаление пыли, грязи, провисов. Контроль за качеством соединения кабеля в распределительных щитах, проверка надежности крепления кабеля </w:t>
            </w:r>
            <w:r w:rsidR="00D92DEE" w:rsidRPr="000764AE">
              <w:rPr>
                <w:sz w:val="20"/>
                <w:szCs w:val="20"/>
              </w:rPr>
              <w:t>питания. Устранение неисправности телефонных аппаратов, обеспечение бесперебойной и качественной связи каждого телефонного аппарата. Добавление новых рабочих мест – протяжка кабеля вн</w:t>
            </w:r>
            <w:r w:rsidR="00D037CF" w:rsidRPr="000764AE">
              <w:rPr>
                <w:sz w:val="20"/>
                <w:szCs w:val="20"/>
              </w:rPr>
              <w:t>утри зданий, добавление розеток (материал заказчика).</w:t>
            </w:r>
            <w:r w:rsidR="00D92DEE" w:rsidRPr="000764AE">
              <w:rPr>
                <w:sz w:val="20"/>
                <w:szCs w:val="20"/>
              </w:rPr>
              <w:t xml:space="preserve"> Устранение неисправностей не позднее чем за 2 часа после получения заявки. Решение проблем с кабельной сетью (обрывы, плохие контакты и т. п.).</w:t>
            </w:r>
          </w:p>
          <w:p w:rsidR="00D92DEE" w:rsidRPr="000764AE" w:rsidRDefault="00D92DEE" w:rsidP="00454F6D">
            <w:pPr>
              <w:spacing w:after="0"/>
              <w:rPr>
                <w:sz w:val="20"/>
                <w:szCs w:val="20"/>
              </w:rPr>
            </w:pPr>
            <w:r w:rsidRPr="000764AE">
              <w:rPr>
                <w:sz w:val="20"/>
                <w:szCs w:val="20"/>
              </w:rPr>
              <w:t>Контроль за целостностью кабеля, отсутствием вставок другого типа провода, удаление пыли, грязи, провисов. Контроль за качеством соединения кабеля в распределительных щитах, проверка надежности крепления кабеля питания. Проверка надежности установки прибора. Проводится внешний осмотр с целью обнар</w:t>
            </w:r>
            <w:r w:rsidR="004E5B9A" w:rsidRPr="000764AE">
              <w:rPr>
                <w:sz w:val="20"/>
                <w:szCs w:val="20"/>
              </w:rPr>
              <w:t>ужения и устранения повреждений, обеспечений максимального срока ее службы, выявление и устранения неисправно</w:t>
            </w:r>
            <w:r w:rsidR="00D037CF" w:rsidRPr="000764AE">
              <w:rPr>
                <w:sz w:val="20"/>
                <w:szCs w:val="20"/>
              </w:rPr>
              <w:t xml:space="preserve">стей. </w:t>
            </w:r>
            <w:r w:rsidR="002E3917" w:rsidRPr="000764AE">
              <w:rPr>
                <w:sz w:val="20"/>
                <w:szCs w:val="20"/>
              </w:rPr>
              <w:t>Техническое обслуживание осуществляется по следующим адресам:</w:t>
            </w:r>
          </w:p>
          <w:p w:rsidR="002E3917" w:rsidRPr="000764AE" w:rsidRDefault="00D037CF" w:rsidP="00454F6D">
            <w:pPr>
              <w:spacing w:after="0"/>
              <w:rPr>
                <w:sz w:val="20"/>
                <w:szCs w:val="20"/>
              </w:rPr>
            </w:pPr>
            <w:r w:rsidRPr="000764AE">
              <w:rPr>
                <w:sz w:val="20"/>
                <w:szCs w:val="20"/>
              </w:rPr>
              <w:t>ул. Инструментальная 2 – 3 городских номера; 13</w:t>
            </w:r>
            <w:r w:rsidR="002E3917" w:rsidRPr="000764AE">
              <w:rPr>
                <w:sz w:val="20"/>
                <w:szCs w:val="20"/>
              </w:rPr>
              <w:t xml:space="preserve"> внутренних номеров;</w:t>
            </w:r>
          </w:p>
          <w:p w:rsidR="002E3917" w:rsidRPr="000764AE" w:rsidRDefault="002E3917" w:rsidP="00454F6D">
            <w:pPr>
              <w:spacing w:after="0"/>
              <w:rPr>
                <w:sz w:val="20"/>
                <w:szCs w:val="20"/>
              </w:rPr>
            </w:pPr>
            <w:r w:rsidRPr="000764AE">
              <w:rPr>
                <w:sz w:val="20"/>
                <w:szCs w:val="20"/>
              </w:rPr>
              <w:t>ул. Инструментальная 2/ 1 – 1 внутренний номер;</w:t>
            </w:r>
          </w:p>
          <w:p w:rsidR="002E3917" w:rsidRPr="000764AE" w:rsidRDefault="00D037CF" w:rsidP="00454F6D">
            <w:pPr>
              <w:spacing w:after="0"/>
              <w:rPr>
                <w:sz w:val="20"/>
                <w:szCs w:val="20"/>
              </w:rPr>
            </w:pPr>
            <w:r w:rsidRPr="000764AE">
              <w:rPr>
                <w:sz w:val="20"/>
                <w:szCs w:val="20"/>
              </w:rPr>
              <w:t xml:space="preserve">пер. Дорожный 8/ 1 –  8 городских номеров, 42 </w:t>
            </w:r>
            <w:r w:rsidR="002E3917" w:rsidRPr="000764AE">
              <w:rPr>
                <w:sz w:val="20"/>
                <w:szCs w:val="20"/>
              </w:rPr>
              <w:t>внутренних номера;</w:t>
            </w:r>
          </w:p>
          <w:p w:rsidR="002E3917" w:rsidRPr="000764AE" w:rsidRDefault="00D037CF" w:rsidP="00454F6D">
            <w:pPr>
              <w:spacing w:after="0"/>
              <w:rPr>
                <w:sz w:val="20"/>
                <w:szCs w:val="20"/>
              </w:rPr>
            </w:pPr>
            <w:r w:rsidRPr="000764AE">
              <w:rPr>
                <w:sz w:val="20"/>
                <w:szCs w:val="20"/>
              </w:rPr>
              <w:t xml:space="preserve">ул.  </w:t>
            </w:r>
            <w:proofErr w:type="spellStart"/>
            <w:r w:rsidRPr="000764AE">
              <w:rPr>
                <w:sz w:val="20"/>
                <w:szCs w:val="20"/>
              </w:rPr>
              <w:t>Невельская</w:t>
            </w:r>
            <w:proofErr w:type="spellEnd"/>
            <w:r w:rsidRPr="000764AE">
              <w:rPr>
                <w:sz w:val="20"/>
                <w:szCs w:val="20"/>
              </w:rPr>
              <w:t xml:space="preserve"> 4 Б – 11 внутренних номеров, 2 городских номера;</w:t>
            </w:r>
          </w:p>
          <w:p w:rsidR="00454F6D" w:rsidRPr="000764AE" w:rsidRDefault="00454F6D" w:rsidP="00454F6D">
            <w:pPr>
              <w:spacing w:after="0"/>
              <w:rPr>
                <w:sz w:val="20"/>
                <w:szCs w:val="20"/>
              </w:rPr>
            </w:pPr>
            <w:r w:rsidRPr="000764AE">
              <w:rPr>
                <w:sz w:val="20"/>
                <w:szCs w:val="20"/>
              </w:rPr>
              <w:t>у</w:t>
            </w:r>
            <w:r w:rsidR="00D037CF" w:rsidRPr="000764AE">
              <w:rPr>
                <w:sz w:val="20"/>
                <w:szCs w:val="20"/>
              </w:rPr>
              <w:t xml:space="preserve">л. </w:t>
            </w:r>
            <w:proofErr w:type="spellStart"/>
            <w:r w:rsidR="00D037CF" w:rsidRPr="000764AE">
              <w:rPr>
                <w:sz w:val="20"/>
                <w:szCs w:val="20"/>
              </w:rPr>
              <w:t>Невельская</w:t>
            </w:r>
            <w:proofErr w:type="spellEnd"/>
            <w:r w:rsidR="00D037CF" w:rsidRPr="000764AE">
              <w:rPr>
                <w:sz w:val="20"/>
                <w:szCs w:val="20"/>
              </w:rPr>
              <w:t xml:space="preserve"> 4 Б строение 1 – 2 внутренних номера, 1 городской номер;</w:t>
            </w:r>
          </w:p>
          <w:p w:rsidR="00454F6D" w:rsidRPr="000764AE" w:rsidRDefault="00454F6D" w:rsidP="00454F6D">
            <w:pPr>
              <w:spacing w:after="0"/>
              <w:rPr>
                <w:sz w:val="20"/>
                <w:szCs w:val="20"/>
              </w:rPr>
            </w:pPr>
            <w:r w:rsidRPr="000764AE">
              <w:rPr>
                <w:sz w:val="20"/>
                <w:szCs w:val="20"/>
              </w:rPr>
              <w:t xml:space="preserve">ул. </w:t>
            </w:r>
            <w:proofErr w:type="spellStart"/>
            <w:r w:rsidRPr="000764AE">
              <w:rPr>
                <w:sz w:val="20"/>
                <w:szCs w:val="20"/>
              </w:rPr>
              <w:t>Невельская</w:t>
            </w:r>
            <w:proofErr w:type="spellEnd"/>
            <w:r w:rsidRPr="000764AE">
              <w:rPr>
                <w:sz w:val="20"/>
                <w:szCs w:val="20"/>
              </w:rPr>
              <w:t xml:space="preserve"> 4 Б ст</w:t>
            </w:r>
            <w:r w:rsidR="00D037CF" w:rsidRPr="000764AE">
              <w:rPr>
                <w:sz w:val="20"/>
                <w:szCs w:val="20"/>
              </w:rPr>
              <w:t>роение 2- 15 внутренних номеров, 2 городских номера;</w:t>
            </w:r>
          </w:p>
          <w:p w:rsidR="00454F6D" w:rsidRPr="000764AE" w:rsidRDefault="00454F6D" w:rsidP="00454F6D">
            <w:pPr>
              <w:spacing w:after="0"/>
              <w:rPr>
                <w:sz w:val="20"/>
                <w:szCs w:val="20"/>
              </w:rPr>
            </w:pPr>
            <w:r w:rsidRPr="000764AE">
              <w:rPr>
                <w:sz w:val="20"/>
                <w:szCs w:val="20"/>
              </w:rPr>
              <w:t>ул. Вост</w:t>
            </w:r>
            <w:r w:rsidR="00D037CF" w:rsidRPr="000764AE">
              <w:rPr>
                <w:sz w:val="20"/>
                <w:szCs w:val="20"/>
              </w:rPr>
              <w:t>очная 3 – 1 городской номер и 4 внутренних номера</w:t>
            </w:r>
            <w:r w:rsidRPr="000764AE">
              <w:rPr>
                <w:sz w:val="20"/>
                <w:szCs w:val="20"/>
              </w:rPr>
              <w:t>;</w:t>
            </w:r>
          </w:p>
          <w:p w:rsidR="00454F6D" w:rsidRPr="000764AE" w:rsidRDefault="00D037CF" w:rsidP="00454F6D">
            <w:pPr>
              <w:spacing w:after="0"/>
              <w:rPr>
                <w:sz w:val="20"/>
                <w:szCs w:val="20"/>
              </w:rPr>
            </w:pPr>
            <w:r w:rsidRPr="000764AE">
              <w:rPr>
                <w:sz w:val="20"/>
                <w:szCs w:val="20"/>
              </w:rPr>
              <w:t xml:space="preserve">пер. Бухарский 20 – 1 </w:t>
            </w:r>
            <w:proofErr w:type="gramStart"/>
            <w:r w:rsidRPr="000764AE">
              <w:rPr>
                <w:sz w:val="20"/>
                <w:szCs w:val="20"/>
              </w:rPr>
              <w:t>городской  номер</w:t>
            </w:r>
            <w:proofErr w:type="gramEnd"/>
            <w:r w:rsidR="00454F6D" w:rsidRPr="000764AE">
              <w:rPr>
                <w:sz w:val="20"/>
                <w:szCs w:val="20"/>
              </w:rPr>
              <w:t>;</w:t>
            </w:r>
            <w:r w:rsidRPr="000764AE">
              <w:rPr>
                <w:sz w:val="20"/>
                <w:szCs w:val="20"/>
              </w:rPr>
              <w:t xml:space="preserve"> 4 внутренних номера;</w:t>
            </w:r>
          </w:p>
          <w:p w:rsidR="00CD67C5" w:rsidRPr="000764AE" w:rsidRDefault="00454F6D" w:rsidP="00D037CF">
            <w:pPr>
              <w:spacing w:after="0"/>
              <w:rPr>
                <w:sz w:val="20"/>
                <w:szCs w:val="20"/>
              </w:rPr>
            </w:pPr>
            <w:r w:rsidRPr="000764AE">
              <w:rPr>
                <w:sz w:val="20"/>
                <w:szCs w:val="20"/>
              </w:rPr>
              <w:t>ул. Ч</w:t>
            </w:r>
            <w:r w:rsidR="00D037CF" w:rsidRPr="000764AE">
              <w:rPr>
                <w:sz w:val="20"/>
                <w:szCs w:val="20"/>
              </w:rPr>
              <w:t>ичерина 87 – 2 городских номера; 2 внутренних номера.</w:t>
            </w:r>
          </w:p>
        </w:tc>
        <w:tc>
          <w:tcPr>
            <w:tcW w:w="964" w:type="dxa"/>
            <w:tcBorders>
              <w:top w:val="single" w:sz="4" w:space="0" w:color="auto"/>
              <w:left w:val="single" w:sz="4" w:space="0" w:color="auto"/>
              <w:bottom w:val="single" w:sz="4" w:space="0" w:color="auto"/>
              <w:right w:val="single" w:sz="4" w:space="0" w:color="auto"/>
            </w:tcBorders>
            <w:hideMark/>
          </w:tcPr>
          <w:p w:rsidR="00412DCE" w:rsidRPr="000764AE" w:rsidRDefault="00CD67C5" w:rsidP="00547173">
            <w:pPr>
              <w:spacing w:after="0"/>
              <w:rPr>
                <w:sz w:val="20"/>
                <w:szCs w:val="20"/>
              </w:rPr>
            </w:pPr>
            <w:r w:rsidRPr="000764AE">
              <w:rPr>
                <w:sz w:val="20"/>
                <w:szCs w:val="20"/>
              </w:rPr>
              <w:t>месяц</w:t>
            </w:r>
          </w:p>
        </w:tc>
        <w:tc>
          <w:tcPr>
            <w:tcW w:w="1099" w:type="dxa"/>
            <w:tcBorders>
              <w:top w:val="single" w:sz="4" w:space="0" w:color="auto"/>
              <w:left w:val="single" w:sz="4" w:space="0" w:color="auto"/>
              <w:bottom w:val="single" w:sz="4" w:space="0" w:color="auto"/>
              <w:right w:val="single" w:sz="4" w:space="0" w:color="auto"/>
            </w:tcBorders>
            <w:hideMark/>
          </w:tcPr>
          <w:p w:rsidR="00412DCE" w:rsidRPr="000764AE" w:rsidRDefault="00CD67C5" w:rsidP="00547173">
            <w:pPr>
              <w:spacing w:after="0"/>
              <w:rPr>
                <w:sz w:val="20"/>
                <w:szCs w:val="20"/>
              </w:rPr>
            </w:pPr>
            <w:r w:rsidRPr="000764AE">
              <w:rPr>
                <w:sz w:val="20"/>
                <w:szCs w:val="20"/>
              </w:rPr>
              <w:t>12</w:t>
            </w:r>
          </w:p>
        </w:tc>
      </w:tr>
    </w:tbl>
    <w:p w:rsidR="00C95E19" w:rsidRPr="000764AE" w:rsidRDefault="00C95E19" w:rsidP="00A176DC">
      <w:pPr>
        <w:ind w:left="360"/>
        <w:jc w:val="center"/>
        <w:rPr>
          <w:b/>
          <w:bCs/>
          <w:kern w:val="28"/>
          <w:sz w:val="20"/>
          <w:szCs w:val="20"/>
        </w:rPr>
      </w:pPr>
    </w:p>
    <w:sectPr w:rsidR="00C95E19" w:rsidRPr="000764AE" w:rsidSect="002B60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395034"/>
    <w:multiLevelType w:val="multilevel"/>
    <w:tmpl w:val="1CBE07B4"/>
    <w:lvl w:ilvl="0">
      <w:start w:val="1"/>
      <w:numFmt w:val="decimal"/>
      <w:pStyle w:val="1"/>
      <w:lvlText w:val="%1."/>
      <w:lvlJc w:val="left"/>
      <w:pPr>
        <w:tabs>
          <w:tab w:val="num" w:pos="432"/>
        </w:tabs>
        <w:ind w:left="432" w:hanging="432"/>
      </w:pPr>
      <w:rPr>
        <w:rFonts w:ascii="Times New Roman" w:hAnsi="Times New Roman" w:cs="Times New Roman" w:hint="default"/>
        <w:b w:val="0"/>
        <w:bCs w:val="0"/>
        <w:sz w:val="22"/>
        <w:szCs w:val="22"/>
      </w:rPr>
    </w:lvl>
    <w:lvl w:ilvl="1">
      <w:start w:val="1"/>
      <w:numFmt w:val="decimal"/>
      <w:pStyle w:val="2"/>
      <w:lvlText w:val="%1.%2."/>
      <w:lvlJc w:val="left"/>
      <w:pPr>
        <w:tabs>
          <w:tab w:val="num" w:pos="2703"/>
        </w:tabs>
        <w:ind w:left="2703" w:hanging="576"/>
      </w:pPr>
    </w:lvl>
    <w:lvl w:ilvl="2">
      <w:start w:val="1"/>
      <w:numFmt w:val="decimal"/>
      <w:pStyle w:val="3"/>
      <w:lvlText w:val="%1.%2.%3."/>
      <w:lvlJc w:val="left"/>
      <w:pPr>
        <w:tabs>
          <w:tab w:val="num" w:pos="561"/>
        </w:tabs>
        <w:ind w:left="1111"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b w:val="0"/>
        <w:bCs w:val="0"/>
        <w:sz w:val="20"/>
        <w:szCs w:val="20"/>
      </w:rPr>
    </w:lvl>
    <w:lvl w:ilvl="4">
      <w:start w:val="1"/>
      <w:numFmt w:val="russianLower"/>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3D0"/>
    <w:rsid w:val="00021E75"/>
    <w:rsid w:val="000453D0"/>
    <w:rsid w:val="0007632F"/>
    <w:rsid w:val="000764AE"/>
    <w:rsid w:val="000D6C9B"/>
    <w:rsid w:val="000E4B1E"/>
    <w:rsid w:val="001117CB"/>
    <w:rsid w:val="00240871"/>
    <w:rsid w:val="002E3917"/>
    <w:rsid w:val="00345DC0"/>
    <w:rsid w:val="00412DCE"/>
    <w:rsid w:val="00433342"/>
    <w:rsid w:val="00454F6D"/>
    <w:rsid w:val="00455E14"/>
    <w:rsid w:val="004724E0"/>
    <w:rsid w:val="004E5B9A"/>
    <w:rsid w:val="00547173"/>
    <w:rsid w:val="00580C4A"/>
    <w:rsid w:val="005F136B"/>
    <w:rsid w:val="00673A74"/>
    <w:rsid w:val="0068459D"/>
    <w:rsid w:val="006B044E"/>
    <w:rsid w:val="007165EA"/>
    <w:rsid w:val="00742E9B"/>
    <w:rsid w:val="008068E4"/>
    <w:rsid w:val="00831DE9"/>
    <w:rsid w:val="008741EE"/>
    <w:rsid w:val="00910257"/>
    <w:rsid w:val="009850BF"/>
    <w:rsid w:val="00A176DC"/>
    <w:rsid w:val="00B13156"/>
    <w:rsid w:val="00B47A75"/>
    <w:rsid w:val="00B73AA3"/>
    <w:rsid w:val="00C2565B"/>
    <w:rsid w:val="00C95E19"/>
    <w:rsid w:val="00CD67C5"/>
    <w:rsid w:val="00D037CF"/>
    <w:rsid w:val="00D92DEE"/>
    <w:rsid w:val="00DB2417"/>
    <w:rsid w:val="00E64BEB"/>
    <w:rsid w:val="00F5309A"/>
    <w:rsid w:val="00FA09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DABB9"/>
  <w15:docId w15:val="{C4E2D62F-52DC-408A-B02A-BE5B39E95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53D0"/>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9"/>
    <w:qFormat/>
    <w:rsid w:val="00412DCE"/>
    <w:pPr>
      <w:keepNext/>
      <w:numPr>
        <w:numId w:val="1"/>
      </w:numPr>
      <w:spacing w:before="240"/>
      <w:jc w:val="center"/>
      <w:outlineLvl w:val="0"/>
    </w:pPr>
    <w:rPr>
      <w:kern w:val="28"/>
      <w:sz w:val="36"/>
      <w:szCs w:val="36"/>
    </w:rPr>
  </w:style>
  <w:style w:type="paragraph" w:styleId="2">
    <w:name w:val="heading 2"/>
    <w:aliases w:val="H2"/>
    <w:basedOn w:val="a"/>
    <w:next w:val="a"/>
    <w:link w:val="20"/>
    <w:uiPriority w:val="99"/>
    <w:semiHidden/>
    <w:unhideWhenUsed/>
    <w:qFormat/>
    <w:rsid w:val="00412DCE"/>
    <w:pPr>
      <w:keepNext/>
      <w:numPr>
        <w:ilvl w:val="1"/>
        <w:numId w:val="1"/>
      </w:numPr>
      <w:jc w:val="center"/>
      <w:outlineLvl w:val="1"/>
    </w:pPr>
    <w:rPr>
      <w:sz w:val="30"/>
      <w:szCs w:val="30"/>
    </w:rPr>
  </w:style>
  <w:style w:type="paragraph" w:styleId="3">
    <w:name w:val="heading 3"/>
    <w:basedOn w:val="a"/>
    <w:next w:val="a"/>
    <w:link w:val="30"/>
    <w:uiPriority w:val="9"/>
    <w:semiHidden/>
    <w:unhideWhenUsed/>
    <w:qFormat/>
    <w:rsid w:val="00412DCE"/>
    <w:pPr>
      <w:keepNext/>
      <w:numPr>
        <w:ilvl w:val="2"/>
        <w:numId w:val="1"/>
      </w:numPr>
      <w:spacing w:before="240"/>
      <w:outlineLvl w:val="2"/>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453D0"/>
    <w:pPr>
      <w:spacing w:after="0" w:line="240" w:lineRule="auto"/>
    </w:pPr>
    <w:rPr>
      <w:rFonts w:eastAsiaTheme="minorEastAsia"/>
      <w:lang w:eastAsia="ru-RU"/>
    </w:rPr>
  </w:style>
  <w:style w:type="character" w:customStyle="1" w:styleId="10">
    <w:name w:val="Заголовок 1 Знак"/>
    <w:basedOn w:val="a0"/>
    <w:uiPriority w:val="9"/>
    <w:rsid w:val="00412DCE"/>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aliases w:val="H2 Знак"/>
    <w:basedOn w:val="a0"/>
    <w:link w:val="2"/>
    <w:uiPriority w:val="99"/>
    <w:semiHidden/>
    <w:rsid w:val="00412DCE"/>
    <w:rPr>
      <w:rFonts w:ascii="Times New Roman" w:eastAsia="Times New Roman" w:hAnsi="Times New Roman" w:cs="Times New Roman"/>
      <w:sz w:val="30"/>
      <w:szCs w:val="30"/>
      <w:lang w:eastAsia="ru-RU"/>
    </w:rPr>
  </w:style>
  <w:style w:type="character" w:customStyle="1" w:styleId="30">
    <w:name w:val="Заголовок 3 Знак"/>
    <w:basedOn w:val="a0"/>
    <w:link w:val="3"/>
    <w:uiPriority w:val="9"/>
    <w:semiHidden/>
    <w:rsid w:val="00412DCE"/>
    <w:rPr>
      <w:rFonts w:ascii="Arial" w:eastAsia="Times New Roman" w:hAnsi="Arial" w:cs="Arial"/>
      <w:b/>
      <w:bCs/>
      <w:sz w:val="24"/>
      <w:szCs w:val="24"/>
      <w:lang w:eastAsia="ru-RU"/>
    </w:rPr>
  </w:style>
  <w:style w:type="character" w:customStyle="1" w:styleId="11">
    <w:name w:val="Заголовок 1 Знак1"/>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uiPriority w:val="99"/>
    <w:locked/>
    <w:rsid w:val="00412DCE"/>
    <w:rPr>
      <w:rFonts w:ascii="Times New Roman" w:eastAsia="Times New Roman" w:hAnsi="Times New Roman" w:cs="Times New Roman"/>
      <w:kern w:val="28"/>
      <w:sz w:val="36"/>
      <w:szCs w:val="36"/>
      <w:lang w:eastAsia="ru-RU"/>
    </w:rPr>
  </w:style>
  <w:style w:type="character" w:customStyle="1" w:styleId="12">
    <w:name w:val="Основной текст Знак1"/>
    <w:basedOn w:val="a0"/>
    <w:link w:val="a4"/>
    <w:uiPriority w:val="99"/>
    <w:rsid w:val="005F136B"/>
    <w:rPr>
      <w:rFonts w:ascii="Times New Roman" w:hAnsi="Times New Roman" w:cs="Times New Roman"/>
      <w:sz w:val="18"/>
      <w:szCs w:val="18"/>
      <w:shd w:val="clear" w:color="auto" w:fill="FFFFFF"/>
    </w:rPr>
  </w:style>
  <w:style w:type="paragraph" w:styleId="a4">
    <w:name w:val="Body Text"/>
    <w:basedOn w:val="a"/>
    <w:link w:val="12"/>
    <w:uiPriority w:val="99"/>
    <w:rsid w:val="005F136B"/>
    <w:pPr>
      <w:shd w:val="clear" w:color="auto" w:fill="FFFFFF"/>
      <w:spacing w:after="0"/>
      <w:jc w:val="left"/>
    </w:pPr>
    <w:rPr>
      <w:rFonts w:eastAsiaTheme="minorHAnsi"/>
      <w:sz w:val="18"/>
      <w:szCs w:val="18"/>
      <w:lang w:eastAsia="en-US"/>
    </w:rPr>
  </w:style>
  <w:style w:type="character" w:customStyle="1" w:styleId="a5">
    <w:name w:val="Основной текст Знак"/>
    <w:basedOn w:val="a0"/>
    <w:uiPriority w:val="99"/>
    <w:semiHidden/>
    <w:rsid w:val="005F136B"/>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47173"/>
    <w:pPr>
      <w:spacing w:after="0"/>
    </w:pPr>
    <w:rPr>
      <w:rFonts w:ascii="Segoe UI" w:hAnsi="Segoe UI" w:cs="Segoe UI"/>
      <w:sz w:val="18"/>
      <w:szCs w:val="18"/>
    </w:rPr>
  </w:style>
  <w:style w:type="character" w:customStyle="1" w:styleId="a7">
    <w:name w:val="Текст выноски Знак"/>
    <w:basedOn w:val="a0"/>
    <w:link w:val="a6"/>
    <w:uiPriority w:val="99"/>
    <w:semiHidden/>
    <w:rsid w:val="0054717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831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86B8E-B1BA-439A-8D36-B57A47C54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383</Words>
  <Characters>2184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Владимир</cp:lastModifiedBy>
  <cp:revision>22</cp:revision>
  <cp:lastPrinted>2024-08-14T04:14:00Z</cp:lastPrinted>
  <dcterms:created xsi:type="dcterms:W3CDTF">2024-08-13T10:08:00Z</dcterms:created>
  <dcterms:modified xsi:type="dcterms:W3CDTF">2024-11-14T10:13:00Z</dcterms:modified>
</cp:coreProperties>
</file>